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80" w:rsidRDefault="00AE15CE" w:rsidP="005E363C">
      <w:pPr>
        <w:spacing w:line="240" w:lineRule="auto"/>
        <w:rPr>
          <w:rFonts w:ascii="Arial" w:eastAsia="Times New Roman" w:hAnsi="Arial" w:cs="Arial"/>
          <w:b/>
          <w:bCs/>
          <w:color w:val="FF0000"/>
          <w:sz w:val="44"/>
          <w:szCs w:val="44"/>
          <w:lang w:eastAsia="cs-CZ"/>
        </w:rPr>
      </w:pPr>
      <w:r w:rsidRPr="00F44052">
        <w:rPr>
          <w:rFonts w:ascii="Arial" w:eastAsia="Times New Roman" w:hAnsi="Arial" w:cs="Arial"/>
          <w:b/>
          <w:bCs/>
          <w:color w:val="FF0000"/>
          <w:sz w:val="44"/>
          <w:szCs w:val="44"/>
          <w:lang w:eastAsia="cs-CZ"/>
        </w:rPr>
        <w:t>Požadavky jednotlivých uměleckých oborů k talentovým průzkumům:</w:t>
      </w:r>
    </w:p>
    <w:p w:rsidR="00871580" w:rsidRPr="00F44052" w:rsidRDefault="00871580" w:rsidP="0087158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Rodiče se svými dětmi se dostaví </w:t>
      </w:r>
      <w:r w:rsidRPr="00F44052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v jednom z uvedených termínů</w:t>
      </w: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, rozpis jednotlivých komisí na přezkoušení bude uveden ve vstupním prostoru  ZUŠ. </w:t>
      </w:r>
    </w:p>
    <w:p w:rsidR="00871580" w:rsidRPr="00F44052" w:rsidRDefault="00871580" w:rsidP="0087158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Zájemci o studium na ZUŠ </w:t>
      </w:r>
      <w:r w:rsidRPr="00F44052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si s sebou mohou přinést již vyplněnou přihlášku</w:t>
      </w:r>
      <w:r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, kterou lze vytisknout z webu školy </w:t>
      </w:r>
      <w:r w:rsidR="00FB3E04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 </w:t>
      </w:r>
      <w:hyperlink r:id="rId5" w:history="1">
        <w:r w:rsidR="00FB3E04" w:rsidRPr="000E160A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https://zuszdar.cz/sko</w:t>
        </w:r>
        <w:r w:rsidR="00FB3E04" w:rsidRPr="000E160A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l</w:t>
        </w:r>
        <w:r w:rsidR="00FB3E04" w:rsidRPr="000E160A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ne-prihlasky-a-rozvrhy/</w:t>
        </w:r>
      </w:hyperlink>
      <w:r w:rsidR="00FB3E04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 </w:t>
      </w: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 a </w:t>
      </w:r>
      <w:r w:rsidRPr="00F44052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nebo přihlášku obdrží a vyplní přímo v ZUŠ při talentových průzkumech. </w:t>
      </w:r>
    </w:p>
    <w:p w:rsidR="00871580" w:rsidRPr="00F44052" w:rsidRDefault="00871580" w:rsidP="0087158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Na přijímací termíny se </w:t>
      </w:r>
      <w:r w:rsidRPr="00F44052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mohou dostavit také všichni zájemci o sborový zpěv od 5 až po 16 let </w:t>
      </w: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>(vyplní speciální přihlášku pro sborový zpěv).</w:t>
      </w:r>
    </w:p>
    <w:p w:rsidR="00871580" w:rsidRPr="00871580" w:rsidRDefault="00871580" w:rsidP="00871580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Výsledky o přijetí či nepřijetí budou známy a zveřejněny</w:t>
      </w:r>
      <w:r w:rsidRPr="00F44052">
        <w:rPr>
          <w:rFonts w:ascii="Arial" w:eastAsia="Times New Roman" w:hAnsi="Arial" w:cs="Arial"/>
          <w:bCs/>
          <w:color w:val="4F81BD" w:themeColor="accent1"/>
          <w:sz w:val="24"/>
          <w:szCs w:val="24"/>
          <w:lang w:eastAsia="cs-CZ"/>
        </w:rPr>
        <w:t xml:space="preserve"> (pomocí individuálních kódů, které obdrží uchazeči u zkoušky) </w:t>
      </w:r>
      <w:r w:rsidR="00AD1936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do konce června 202</w:t>
      </w:r>
      <w:r w:rsidR="005E363C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>5</w:t>
      </w:r>
      <w:r w:rsidRPr="00135B1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cs-CZ"/>
        </w:rPr>
        <w:t xml:space="preserve">. </w:t>
      </w:r>
    </w:p>
    <w:p w:rsidR="00AE15CE" w:rsidRPr="00F44052" w:rsidRDefault="00AE15CE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  <w:t>HUDEBNÍ OBOR</w:t>
      </w:r>
    </w:p>
    <w:p w:rsidR="00AE15CE" w:rsidRPr="00F44052" w:rsidRDefault="00AE15CE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>Pro žáky od 6 let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- Přípravné studium - jednoleté</w:t>
      </w:r>
    </w:p>
    <w:p w:rsidR="00AE15CE" w:rsidRDefault="00AE15CE" w:rsidP="00AE15CE">
      <w:pPr>
        <w:spacing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>Pro žáky od 7 let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- Hra na klavír, elektronické klávesové nástroje, </w:t>
      </w:r>
      <w:r w:rsidR="00C7469D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varhany, 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housle, violoncello, zobcovou flétnu, příčnou flétnu, hoboj, klarinet, saxofon, trubku, lesní roh, pozoun, tenor, baryton, tubu, </w:t>
      </w:r>
      <w:r w:rsidR="00135B18"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klasickou 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kytaru, folkovou kytaru, rockovou kytaru, basovou kytaru, harfu, bicí nástroje, akordeon a sólový zpěv. </w:t>
      </w:r>
    </w:p>
    <w:p w:rsidR="00AD1936" w:rsidRPr="00F44052" w:rsidRDefault="00AD1936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AD1936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Žáky s odkladem školní docházky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r w:rsidRPr="00AD1936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přijímáme v 7 letech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do Přípravného studia (žáci neumí psát a problém nastává v hodinách hudební nauky). </w:t>
      </w:r>
    </w:p>
    <w:p w:rsidR="00AE15CE" w:rsidRPr="00F44052" w:rsidRDefault="00AE15CE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Posuzujeme:</w:t>
      </w:r>
    </w:p>
    <w:p w:rsidR="00AE15CE" w:rsidRPr="00F44052" w:rsidRDefault="00AE15CE" w:rsidP="00AE15CE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Zpěv dvou písní (alespoň jedna lidová) </w:t>
      </w:r>
    </w:p>
    <w:p w:rsidR="00AE15CE" w:rsidRPr="00F44052" w:rsidRDefault="00AE15CE" w:rsidP="00AE15CE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Opakování melodie a rytmu</w:t>
      </w:r>
    </w:p>
    <w:p w:rsidR="00135B18" w:rsidRPr="00F44052" w:rsidRDefault="00AE15CE" w:rsidP="00135B18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Studijní předpoklady pro hru na nástroj a sólový zpěv</w:t>
      </w:r>
    </w:p>
    <w:p w:rsidR="00135B18" w:rsidRPr="00F44052" w:rsidRDefault="00135B18" w:rsidP="00135B18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5B18" w:rsidRPr="00F44052" w:rsidRDefault="00135B18" w:rsidP="00135B18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  <w:t>TANEČNÍ OBOR</w:t>
      </w:r>
    </w:p>
    <w:p w:rsidR="00135B18" w:rsidRPr="00F44052" w:rsidRDefault="00135B18" w:rsidP="00135B18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>Pro žáky od 5 let 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  </w:t>
      </w:r>
    </w:p>
    <w:p w:rsidR="00135B18" w:rsidRPr="00F44052" w:rsidRDefault="00135B18" w:rsidP="00135B18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Posuzujeme:</w:t>
      </w:r>
    </w:p>
    <w:p w:rsidR="00135B18" w:rsidRPr="00F44052" w:rsidRDefault="00135B18" w:rsidP="00135B1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Základní pohybové předpoklady - pohyblivost páteře, kyčelních kloubů, </w:t>
      </w:r>
    </w:p>
    <w:p w:rsidR="00135B18" w:rsidRPr="00F44052" w:rsidRDefault="00135B18" w:rsidP="00135B18">
      <w:pPr>
        <w:pStyle w:val="Odstavecseseznamem"/>
        <w:spacing w:line="240" w:lineRule="auto"/>
        <w:ind w:left="1215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nártu</w:t>
      </w:r>
    </w:p>
    <w:p w:rsidR="00135B18" w:rsidRPr="00F44052" w:rsidRDefault="00135B18" w:rsidP="00135B18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Rytmické předpoklady - opakování vytleskávaných rytmů</w:t>
      </w:r>
    </w:p>
    <w:p w:rsidR="00135B18" w:rsidRPr="00F44052" w:rsidRDefault="00135B18" w:rsidP="00135B18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Tanečnost - improvizace na hudbu</w:t>
      </w:r>
    </w:p>
    <w:p w:rsidR="005E363C" w:rsidRDefault="00135B18" w:rsidP="005E363C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u w:val="single"/>
          <w:lang w:eastAsia="cs-CZ"/>
        </w:rPr>
        <w:t>S sebou: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 cvičební úbor a ponožky (ne cvičky!) </w:t>
      </w:r>
    </w:p>
    <w:p w:rsidR="005E363C" w:rsidRPr="005E363C" w:rsidRDefault="005E363C" w:rsidP="005E363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  <w:lastRenderedPageBreak/>
        <w:t>VÝTVARNÝ OBOR</w:t>
      </w: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 xml:space="preserve">Pro žáky od 5 </w:t>
      </w:r>
      <w:r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 xml:space="preserve">do 18 </w:t>
      </w:r>
      <w:r w:rsidRPr="00F44052"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>let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–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. uč. 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>Han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a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Šikulov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>á, Šárka Hejlová a Jana Zabloudilová</w:t>
      </w: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Kresba postav tužkou na formát A4</w:t>
      </w:r>
      <w:r>
        <w:rPr>
          <w:rFonts w:ascii="Arial" w:eastAsia="Times New Roman" w:hAnsi="Arial" w:cs="Arial"/>
          <w:sz w:val="24"/>
          <w:szCs w:val="24"/>
          <w:lang w:eastAsia="cs-CZ"/>
        </w:rPr>
        <w:t>/A3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Posuzujeme: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Proporční zvládnutí postavy, detaily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Umístění do formátu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Práci s tužkou</w:t>
      </w: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</w:pP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color w:val="3D85C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>Pro žáky od 13</w:t>
      </w:r>
      <w:r w:rsidRPr="00F44052"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 xml:space="preserve">do 18 </w:t>
      </w:r>
      <w:r w:rsidRPr="00F44052"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>let</w:t>
      </w:r>
      <w:r>
        <w:rPr>
          <w:rFonts w:ascii="Arial" w:eastAsia="Times New Roman" w:hAnsi="Arial" w:cs="Arial"/>
          <w:color w:val="3D85C6"/>
          <w:sz w:val="24"/>
          <w:szCs w:val="24"/>
          <w:lang w:eastAsia="cs-CZ"/>
        </w:rPr>
        <w:t xml:space="preserve"> – příprava na střední a vysoké školy – p. uč. Šárka Hejlová </w:t>
      </w:r>
    </w:p>
    <w:p w:rsidR="005E363C" w:rsidRDefault="005E363C" w:rsidP="005E363C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u w:val="single"/>
          <w:lang w:eastAsia="cs-CZ"/>
        </w:rPr>
        <w:t>S sebou: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domácí práce (5 ks)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Konzultace nad domácími pracemi</w:t>
      </w: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Kresba </w:t>
      </w:r>
      <w:r>
        <w:rPr>
          <w:rFonts w:ascii="Arial" w:eastAsia="Times New Roman" w:hAnsi="Arial" w:cs="Arial"/>
          <w:sz w:val="24"/>
          <w:szCs w:val="24"/>
          <w:lang w:eastAsia="cs-CZ"/>
        </w:rPr>
        <w:t>na zadané téma, tužkou na formát A3</w:t>
      </w: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Posuzujeme: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>
        <w:rPr>
          <w:rFonts w:ascii="Arial" w:eastAsia="Times New Roman" w:hAnsi="Arial" w:cs="Arial"/>
          <w:sz w:val="24"/>
          <w:szCs w:val="24"/>
          <w:lang w:eastAsia="cs-CZ"/>
        </w:rPr>
        <w:t>Anatomii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>
        <w:rPr>
          <w:rFonts w:ascii="Arial" w:eastAsia="Times New Roman" w:hAnsi="Arial" w:cs="Arial"/>
          <w:sz w:val="24"/>
          <w:szCs w:val="24"/>
          <w:lang w:eastAsia="cs-CZ"/>
        </w:rPr>
        <w:t>Perspektivu</w:t>
      </w:r>
    </w:p>
    <w:p w:rsidR="005E363C" w:rsidRPr="000E7759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Práci s </w:t>
      </w:r>
      <w:r>
        <w:rPr>
          <w:rFonts w:ascii="Arial" w:eastAsia="Times New Roman" w:hAnsi="Arial" w:cs="Arial"/>
          <w:sz w:val="24"/>
          <w:szCs w:val="24"/>
          <w:lang w:eastAsia="cs-CZ"/>
        </w:rPr>
        <w:t>fontem</w:t>
      </w: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</w:pP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color w:val="3D85C6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 xml:space="preserve">Pro žáky od 10 </w:t>
      </w:r>
      <w:r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 xml:space="preserve">do 18 </w:t>
      </w:r>
      <w:r w:rsidRPr="00F44052">
        <w:rPr>
          <w:rFonts w:ascii="Arial" w:eastAsia="Times New Roman" w:hAnsi="Arial" w:cs="Arial"/>
          <w:color w:val="3D85C6"/>
          <w:sz w:val="24"/>
          <w:szCs w:val="24"/>
          <w:u w:val="single"/>
          <w:lang w:eastAsia="cs-CZ"/>
        </w:rPr>
        <w:t>let</w:t>
      </w:r>
      <w:r w:rsidRPr="00F44052">
        <w:rPr>
          <w:rFonts w:ascii="Arial" w:eastAsia="Times New Roman" w:hAnsi="Arial" w:cs="Arial"/>
          <w:color w:val="3D85C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D85C6"/>
          <w:sz w:val="24"/>
          <w:szCs w:val="24"/>
          <w:lang w:eastAsia="cs-CZ"/>
        </w:rPr>
        <w:t>–</w:t>
      </w:r>
      <w:r w:rsidRPr="00F44052">
        <w:rPr>
          <w:rFonts w:ascii="Arial" w:eastAsia="Times New Roman" w:hAnsi="Arial" w:cs="Arial"/>
          <w:color w:val="3D85C6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D85C6"/>
          <w:sz w:val="24"/>
          <w:szCs w:val="24"/>
          <w:lang w:eastAsia="cs-CZ"/>
        </w:rPr>
        <w:t>multimediální třída – p. uč. Zuzana Ptáčková</w:t>
      </w:r>
    </w:p>
    <w:p w:rsidR="005E363C" w:rsidRDefault="005E363C" w:rsidP="005E363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Pohovor</w:t>
      </w: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Kresba postav tužkou na formát A4</w:t>
      </w:r>
      <w:r>
        <w:rPr>
          <w:rFonts w:ascii="Arial" w:eastAsia="Times New Roman" w:hAnsi="Arial" w:cs="Arial"/>
          <w:sz w:val="24"/>
          <w:szCs w:val="24"/>
          <w:lang w:eastAsia="cs-CZ"/>
        </w:rPr>
        <w:t>/A3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E363C" w:rsidRPr="00F44052" w:rsidRDefault="005E363C" w:rsidP="005E363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Posuzujeme:</w:t>
      </w:r>
    </w:p>
    <w:p w:rsidR="005E363C" w:rsidRDefault="005E363C" w:rsidP="005E363C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Proporční zvládnutí postavy, detaily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>
        <w:rPr>
          <w:rFonts w:ascii="Arial" w:eastAsia="Times New Roman" w:hAnsi="Arial" w:cs="Arial"/>
          <w:sz w:val="24"/>
          <w:szCs w:val="24"/>
          <w:lang w:eastAsia="cs-CZ"/>
        </w:rPr>
        <w:t>Kresbou znázorněný děj</w:t>
      </w:r>
    </w:p>
    <w:p w:rsidR="005E363C" w:rsidRPr="00F44052" w:rsidRDefault="005E363C" w:rsidP="005E363C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Umístění do formátu</w:t>
      </w:r>
    </w:p>
    <w:p w:rsidR="00135B18" w:rsidRPr="00F44052" w:rsidRDefault="005E363C" w:rsidP="005E363C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Práci s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tužko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</w:p>
    <w:p w:rsidR="005E363C" w:rsidRDefault="005E363C" w:rsidP="00AE15CE">
      <w:pPr>
        <w:spacing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</w:pPr>
    </w:p>
    <w:p w:rsidR="005E363C" w:rsidRDefault="005E363C" w:rsidP="00AE15CE">
      <w:pPr>
        <w:spacing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</w:pPr>
    </w:p>
    <w:p w:rsidR="005E363C" w:rsidRDefault="005E363C" w:rsidP="00AE15CE">
      <w:pPr>
        <w:spacing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</w:pPr>
    </w:p>
    <w:p w:rsidR="00AE15CE" w:rsidRPr="00F44052" w:rsidRDefault="00AE15CE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FFFFFF"/>
          <w:sz w:val="24"/>
          <w:szCs w:val="24"/>
          <w:shd w:val="clear" w:color="auto" w:fill="3D85C6"/>
          <w:lang w:eastAsia="cs-CZ"/>
        </w:rPr>
        <w:lastRenderedPageBreak/>
        <w:t>LITERÁRNĚ DRAMATICKÝ OBOR: </w:t>
      </w:r>
    </w:p>
    <w:p w:rsidR="00AE15CE" w:rsidRPr="00F44052" w:rsidRDefault="00AE15CE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color w:val="0070C0"/>
          <w:sz w:val="24"/>
          <w:szCs w:val="24"/>
          <w:u w:val="single"/>
          <w:lang w:eastAsia="cs-CZ"/>
        </w:rPr>
        <w:t>Pro žáky od 5 let </w:t>
      </w:r>
      <w:r w:rsidRPr="00F44052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  </w:t>
      </w:r>
    </w:p>
    <w:p w:rsidR="00AE15CE" w:rsidRPr="00F44052" w:rsidRDefault="00AE15CE" w:rsidP="00AE15C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Posuzujeme:</w:t>
      </w:r>
    </w:p>
    <w:p w:rsidR="00AE15CE" w:rsidRPr="00F44052" w:rsidRDefault="00AE15CE" w:rsidP="00AE15CE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Komunikační dovednosti - interpretace viděného, slyšeného a přečteného</w:t>
      </w:r>
    </w:p>
    <w:p w:rsidR="005A346A" w:rsidRPr="00F44052" w:rsidRDefault="00AE15CE" w:rsidP="005A346A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Pohybová etuda/hra - reakce na part</w:t>
      </w:r>
      <w:r w:rsidR="005A346A"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nera, představivost, prostorová         </w:t>
      </w:r>
    </w:p>
    <w:p w:rsidR="00AE15CE" w:rsidRPr="00F44052" w:rsidRDefault="005A346A" w:rsidP="005A346A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AE15CE" w:rsidRPr="00F44052">
        <w:rPr>
          <w:rFonts w:ascii="Arial" w:eastAsia="Times New Roman" w:hAnsi="Arial" w:cs="Arial"/>
          <w:sz w:val="24"/>
          <w:szCs w:val="24"/>
          <w:lang w:eastAsia="cs-CZ"/>
        </w:rPr>
        <w:t>paměť</w:t>
      </w:r>
    </w:p>
    <w:p w:rsidR="00AE15CE" w:rsidRPr="00F44052" w:rsidRDefault="00AE15CE" w:rsidP="00AE15CE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Tvorba/hra s materiálem - fantazie, nápaditost, představivost</w:t>
      </w:r>
    </w:p>
    <w:p w:rsidR="00AE15CE" w:rsidRPr="00F44052" w:rsidRDefault="00AE15CE" w:rsidP="00AE15CE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F44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>Rozhovor - kdo jsem, zájem o obor</w:t>
      </w:r>
    </w:p>
    <w:p w:rsidR="00FE36FE" w:rsidRPr="00F44052" w:rsidRDefault="00AE15CE" w:rsidP="00135B18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4052">
        <w:rPr>
          <w:rFonts w:ascii="Arial" w:eastAsia="Times New Roman" w:hAnsi="Arial" w:cs="Arial"/>
          <w:sz w:val="24"/>
          <w:szCs w:val="24"/>
          <w:u w:val="single"/>
          <w:lang w:eastAsia="cs-CZ"/>
        </w:rPr>
        <w:t>S sebou:</w:t>
      </w:r>
      <w:r w:rsidRPr="00F44052">
        <w:rPr>
          <w:rFonts w:ascii="Arial" w:eastAsia="Times New Roman" w:hAnsi="Arial" w:cs="Arial"/>
          <w:sz w:val="24"/>
          <w:szCs w:val="24"/>
          <w:lang w:eastAsia="cs-CZ"/>
        </w:rPr>
        <w:t xml:space="preserve"> pohodlné oblečení, cvičky.</w:t>
      </w:r>
    </w:p>
    <w:p w:rsidR="00135B18" w:rsidRPr="00F44052" w:rsidRDefault="00135B18" w:rsidP="00135B18">
      <w:pPr>
        <w:spacing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135B18" w:rsidRPr="00F44052" w:rsidSect="00D5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222F"/>
    <w:multiLevelType w:val="hybridMultilevel"/>
    <w:tmpl w:val="E8EA01A2"/>
    <w:lvl w:ilvl="0" w:tplc="5B6A4BC2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AE15CE"/>
    <w:rsid w:val="00135B18"/>
    <w:rsid w:val="00433699"/>
    <w:rsid w:val="005A346A"/>
    <w:rsid w:val="005B19BA"/>
    <w:rsid w:val="005E363C"/>
    <w:rsid w:val="00871580"/>
    <w:rsid w:val="00AB0038"/>
    <w:rsid w:val="00AD1936"/>
    <w:rsid w:val="00AE15CE"/>
    <w:rsid w:val="00B308BD"/>
    <w:rsid w:val="00C7469D"/>
    <w:rsid w:val="00D55EF7"/>
    <w:rsid w:val="00ED3B57"/>
    <w:rsid w:val="00F44052"/>
    <w:rsid w:val="00FB3E04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4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46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3E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uszdar.cz/skolne-prihlasky-a-rozvrh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dcterms:created xsi:type="dcterms:W3CDTF">2021-05-03T14:34:00Z</dcterms:created>
  <dcterms:modified xsi:type="dcterms:W3CDTF">2025-03-18T14:59:00Z</dcterms:modified>
</cp:coreProperties>
</file>